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25AB" w14:textId="77777777" w:rsidR="00924462" w:rsidRDefault="00325522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4688E15E" wp14:editId="0C3AA69F">
            <wp:simplePos x="0" y="0"/>
            <wp:positionH relativeFrom="page">
              <wp:posOffset>2927513</wp:posOffset>
            </wp:positionH>
            <wp:positionV relativeFrom="page">
              <wp:posOffset>450215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BAE1AB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1F704114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307D5B95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542F2943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304EC9C8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599FBA59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5FBCC71D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682F9B1E" w14:textId="77777777" w:rsidR="00924462" w:rsidRDefault="00924462">
      <w:pPr>
        <w:pStyle w:val="Heading1"/>
        <w:jc w:val="center"/>
        <w:rPr>
          <w:sz w:val="28"/>
          <w:szCs w:val="28"/>
        </w:rPr>
      </w:pPr>
    </w:p>
    <w:p w14:paraId="055ECA35" w14:textId="77777777" w:rsidR="00924462" w:rsidRDefault="0032552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208013D8" w14:textId="77777777" w:rsidR="00924462" w:rsidRDefault="00325522">
      <w:pPr>
        <w:pStyle w:val="Heading1"/>
        <w:jc w:val="center"/>
        <w:rPr>
          <w:i/>
        </w:rPr>
      </w:pPr>
      <w:r>
        <w:rPr>
          <w:i/>
        </w:rPr>
        <w:t xml:space="preserve">In association with – Bullhorn, LinkedIn &amp; The Irish Independent </w:t>
      </w:r>
    </w:p>
    <w:p w14:paraId="6C860EF9" w14:textId="0DB9B02F" w:rsidR="00924462" w:rsidRDefault="0032552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Award Category: Best In Practice:</w:t>
      </w:r>
      <w:r>
        <w:rPr>
          <w:rFonts w:ascii="Arial" w:eastAsia="Arial" w:hAnsi="Arial" w:cs="Arial"/>
          <w:b/>
        </w:rPr>
        <w:t xml:space="preserve"> IT, Telecoms &amp; Technical</w:t>
      </w:r>
    </w:p>
    <w:tbl>
      <w:tblPr>
        <w:tblStyle w:val="a"/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65"/>
        <w:gridCol w:w="2678"/>
        <w:gridCol w:w="513"/>
        <w:gridCol w:w="630"/>
        <w:gridCol w:w="630"/>
        <w:gridCol w:w="2735"/>
      </w:tblGrid>
      <w:tr w:rsidR="00924462" w14:paraId="70624403" w14:textId="77777777">
        <w:tc>
          <w:tcPr>
            <w:tcW w:w="2055" w:type="dxa"/>
            <w:gridSpan w:val="2"/>
            <w:shd w:val="clear" w:color="auto" w:fill="FFFFFF"/>
          </w:tcPr>
          <w:p w14:paraId="6DF94790" w14:textId="77777777" w:rsidR="00924462" w:rsidRDefault="00325522">
            <w:pPr>
              <w:pStyle w:val="Heading2"/>
            </w:pPr>
            <w:r>
              <w:t>Entrant Details</w:t>
            </w:r>
          </w:p>
        </w:tc>
        <w:tc>
          <w:tcPr>
            <w:tcW w:w="7186" w:type="dxa"/>
            <w:gridSpan w:val="5"/>
            <w:shd w:val="clear" w:color="auto" w:fill="FFFFFF"/>
          </w:tcPr>
          <w:p w14:paraId="0F3B48BD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24462" w14:paraId="2A0DB53C" w14:textId="77777777">
        <w:tc>
          <w:tcPr>
            <w:tcW w:w="2055" w:type="dxa"/>
            <w:gridSpan w:val="2"/>
            <w:shd w:val="clear" w:color="auto" w:fill="FFFFFF"/>
          </w:tcPr>
          <w:p w14:paraId="04D820A1" w14:textId="77777777" w:rsidR="00924462" w:rsidRDefault="0032552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7186" w:type="dxa"/>
            <w:gridSpan w:val="5"/>
            <w:shd w:val="clear" w:color="auto" w:fill="FFFFFF"/>
          </w:tcPr>
          <w:p w14:paraId="72686593" w14:textId="77777777" w:rsidR="00924462" w:rsidRDefault="00325522">
            <w:pPr>
              <w:tabs>
                <w:tab w:val="left" w:pos="4395"/>
                <w:tab w:val="left" w:pos="4785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4462" w14:paraId="148EA970" w14:textId="77777777">
        <w:tc>
          <w:tcPr>
            <w:tcW w:w="2055" w:type="dxa"/>
            <w:gridSpan w:val="2"/>
            <w:shd w:val="clear" w:color="auto" w:fill="FFFFFF"/>
          </w:tcPr>
          <w:p w14:paraId="6AEE89F3" w14:textId="77777777" w:rsidR="00924462" w:rsidRDefault="0032552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7186" w:type="dxa"/>
            <w:gridSpan w:val="5"/>
            <w:shd w:val="clear" w:color="auto" w:fill="FFFFFF"/>
          </w:tcPr>
          <w:p w14:paraId="5C2F103C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4E6E5EA6" w14:textId="77777777">
        <w:tc>
          <w:tcPr>
            <w:tcW w:w="2055" w:type="dxa"/>
            <w:gridSpan w:val="2"/>
            <w:shd w:val="clear" w:color="auto" w:fill="FFFFFF"/>
          </w:tcPr>
          <w:p w14:paraId="4006E6C8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86" w:type="dxa"/>
            <w:gridSpan w:val="5"/>
            <w:shd w:val="clear" w:color="auto" w:fill="FFFFFF"/>
          </w:tcPr>
          <w:p w14:paraId="63D0703A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1B96DB06" w14:textId="77777777">
        <w:tc>
          <w:tcPr>
            <w:tcW w:w="2055" w:type="dxa"/>
            <w:gridSpan w:val="2"/>
            <w:shd w:val="clear" w:color="auto" w:fill="FFFFFF"/>
          </w:tcPr>
          <w:p w14:paraId="7B31F0A0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86" w:type="dxa"/>
            <w:gridSpan w:val="5"/>
            <w:shd w:val="clear" w:color="auto" w:fill="FFFFFF"/>
          </w:tcPr>
          <w:p w14:paraId="45E920A9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6AF81C56" w14:textId="77777777">
        <w:tc>
          <w:tcPr>
            <w:tcW w:w="2055" w:type="dxa"/>
            <w:gridSpan w:val="2"/>
            <w:shd w:val="clear" w:color="auto" w:fill="FFFFFF"/>
          </w:tcPr>
          <w:p w14:paraId="055D30AD" w14:textId="77777777" w:rsidR="00924462" w:rsidRDefault="0032552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3191" w:type="dxa"/>
            <w:gridSpan w:val="2"/>
            <w:shd w:val="clear" w:color="auto" w:fill="FFFFFF"/>
          </w:tcPr>
          <w:p w14:paraId="632118DD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07C3C316" w14:textId="77777777" w:rsidR="00924462" w:rsidRDefault="0032552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735" w:type="dxa"/>
            <w:shd w:val="clear" w:color="auto" w:fill="FFFFFF"/>
          </w:tcPr>
          <w:p w14:paraId="7C1FCC93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023D559E" w14:textId="77777777">
        <w:tc>
          <w:tcPr>
            <w:tcW w:w="2055" w:type="dxa"/>
            <w:gridSpan w:val="2"/>
            <w:shd w:val="clear" w:color="auto" w:fill="FFFFFF"/>
          </w:tcPr>
          <w:p w14:paraId="4B63EFAD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86" w:type="dxa"/>
            <w:gridSpan w:val="5"/>
            <w:shd w:val="clear" w:color="auto" w:fill="FFFFFF"/>
          </w:tcPr>
          <w:p w14:paraId="53EE90FE" w14:textId="77777777" w:rsidR="00924462" w:rsidRDefault="009244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4F636485" w14:textId="77777777">
        <w:tc>
          <w:tcPr>
            <w:tcW w:w="9241" w:type="dxa"/>
            <w:gridSpan w:val="7"/>
            <w:shd w:val="clear" w:color="auto" w:fill="FFFFFF"/>
          </w:tcPr>
          <w:p w14:paraId="060A2CC0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924462" w14:paraId="5D95FA47" w14:textId="77777777">
        <w:tc>
          <w:tcPr>
            <w:tcW w:w="9241" w:type="dxa"/>
            <w:gridSpan w:val="7"/>
            <w:shd w:val="clear" w:color="auto" w:fill="FFFFFF"/>
          </w:tcPr>
          <w:p w14:paraId="33141794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24D94815" w14:textId="77777777" w:rsidR="00924462" w:rsidRDefault="0092446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AF13C3" w14:textId="77777777" w:rsidR="00924462" w:rsidRDefault="0092446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24462" w14:paraId="6261CB9F" w14:textId="77777777">
        <w:tc>
          <w:tcPr>
            <w:tcW w:w="990" w:type="dxa"/>
            <w:shd w:val="clear" w:color="auto" w:fill="FFFFFF"/>
          </w:tcPr>
          <w:p w14:paraId="5DAF58D9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743" w:type="dxa"/>
            <w:gridSpan w:val="2"/>
            <w:shd w:val="clear" w:color="auto" w:fill="FFFFFF"/>
          </w:tcPr>
          <w:p w14:paraId="2AF05B9E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F78D9E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14:paraId="7100E2B4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365" w:type="dxa"/>
            <w:gridSpan w:val="2"/>
            <w:shd w:val="clear" w:color="auto" w:fill="FFFFFF"/>
          </w:tcPr>
          <w:p w14:paraId="4A05FA58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17028E1A" w14:textId="77777777">
        <w:tc>
          <w:tcPr>
            <w:tcW w:w="990" w:type="dxa"/>
            <w:shd w:val="clear" w:color="auto" w:fill="FFFFFF"/>
          </w:tcPr>
          <w:p w14:paraId="5CCD81CE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743" w:type="dxa"/>
            <w:gridSpan w:val="2"/>
            <w:shd w:val="clear" w:color="auto" w:fill="FFFFFF"/>
          </w:tcPr>
          <w:p w14:paraId="52F99D04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0992D8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14:paraId="035353FF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365" w:type="dxa"/>
            <w:gridSpan w:val="2"/>
            <w:shd w:val="clear" w:color="auto" w:fill="FFFFFF"/>
          </w:tcPr>
          <w:p w14:paraId="2ECA03DA" w14:textId="77777777" w:rsidR="00924462" w:rsidRDefault="0092446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4462" w14:paraId="50143D93" w14:textId="77777777">
        <w:tc>
          <w:tcPr>
            <w:tcW w:w="9241" w:type="dxa"/>
            <w:gridSpan w:val="7"/>
            <w:shd w:val="clear" w:color="auto" w:fill="FFFFFF"/>
          </w:tcPr>
          <w:p w14:paraId="581245FF" w14:textId="77777777" w:rsidR="00924462" w:rsidRDefault="003255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924462" w14:paraId="69E5260D" w14:textId="77777777">
        <w:tc>
          <w:tcPr>
            <w:tcW w:w="9241" w:type="dxa"/>
            <w:gridSpan w:val="7"/>
            <w:shd w:val="clear" w:color="auto" w:fill="FFFFFF"/>
          </w:tcPr>
          <w:p w14:paraId="338B067F" w14:textId="77777777" w:rsidR="00924462" w:rsidRDefault="00325522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924462" w14:paraId="40EFE66F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778504A9" w14:textId="77777777" w:rsidR="00924462" w:rsidRDefault="00325522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4510AF05" w14:textId="77777777" w:rsidR="00924462" w:rsidRDefault="00325522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2C1734C0" w14:textId="77777777" w:rsidR="00924462" w:rsidRDefault="00325522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print off (or email) your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completed submission and enclose the  completed application form. </w:t>
                  </w:r>
                </w:p>
                <w:p w14:paraId="114F6CBD" w14:textId="77777777" w:rsidR="00924462" w:rsidRDefault="00325522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RESTRICTIONS) 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2F0B50F9" w14:textId="77777777" w:rsidR="00924462" w:rsidRDefault="00325522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602E30C7" w14:textId="77777777" w:rsidR="00924462" w:rsidRDefault="00325522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671237B4" w14:textId="77777777" w:rsidR="00924462" w:rsidRDefault="00325522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4462" w14:paraId="053BA2E3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4E67F555" w14:textId="77777777" w:rsidR="00924462" w:rsidRDefault="003255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5BE48C3F" w14:textId="77777777" w:rsidR="00924462" w:rsidRDefault="00924462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F1A069" w14:textId="77777777" w:rsidR="00924462" w:rsidRDefault="00924462">
      <w:pPr>
        <w:rPr>
          <w:rFonts w:ascii="Arial" w:eastAsia="Arial" w:hAnsi="Arial" w:cs="Arial"/>
          <w:b/>
          <w:sz w:val="28"/>
          <w:szCs w:val="28"/>
        </w:rPr>
      </w:pPr>
    </w:p>
    <w:p w14:paraId="4EA38DE5" w14:textId="77777777" w:rsidR="00924462" w:rsidRDefault="00924462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73877B68" w14:textId="27A8AFD3" w:rsidR="00924462" w:rsidRDefault="0032552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Category Award – Best in Practice: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IT, Telecoms &amp; Technical   </w:t>
      </w:r>
    </w:p>
    <w:p w14:paraId="2F96303B" w14:textId="77777777" w:rsidR="00924462" w:rsidRDefault="00924462">
      <w:pPr>
        <w:rPr>
          <w:rFonts w:ascii="Arial" w:eastAsia="Arial" w:hAnsi="Arial" w:cs="Arial"/>
          <w:b/>
          <w:sz w:val="28"/>
          <w:szCs w:val="28"/>
        </w:rPr>
      </w:pPr>
    </w:p>
    <w:p w14:paraId="2FC50D31" w14:textId="77777777" w:rsidR="00924462" w:rsidRDefault="00325522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3597EEC3" w14:textId="77777777" w:rsidR="00924462" w:rsidRDefault="00924462">
      <w:pPr>
        <w:rPr>
          <w:rFonts w:ascii="Arial" w:eastAsia="Arial" w:hAnsi="Arial" w:cs="Arial"/>
          <w:sz w:val="20"/>
          <w:szCs w:val="20"/>
        </w:rPr>
      </w:pPr>
    </w:p>
    <w:p w14:paraId="20AF8024" w14:textId="77777777" w:rsidR="00924462" w:rsidRDefault="0092446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D39BA1" w14:textId="0D6E06B3" w:rsidR="00924462" w:rsidRDefault="00325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In Practice: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IT, Telecoms &amp; Technical </w:t>
      </w:r>
    </w:p>
    <w:p w14:paraId="5C062BF4" w14:textId="77777777" w:rsidR="00924462" w:rsidRDefault="00924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73D11FE1" w14:textId="77777777" w:rsidR="00924462" w:rsidRDefault="00325522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38C0FEB0" w14:textId="77777777" w:rsidR="00924462" w:rsidRDefault="00924462">
      <w:pPr>
        <w:rPr>
          <w:rFonts w:ascii="Arial" w:eastAsia="Arial" w:hAnsi="Arial" w:cs="Arial"/>
          <w:sz w:val="23"/>
          <w:szCs w:val="23"/>
        </w:rPr>
      </w:pPr>
    </w:p>
    <w:p w14:paraId="5EF77AD4" w14:textId="77777777" w:rsidR="00924462" w:rsidRDefault="00924462">
      <w:pPr>
        <w:rPr>
          <w:rFonts w:ascii="Arial" w:eastAsia="Arial" w:hAnsi="Arial" w:cs="Arial"/>
          <w:color w:val="1F497D"/>
        </w:rPr>
      </w:pPr>
    </w:p>
    <w:p w14:paraId="57300F80" w14:textId="77777777" w:rsidR="00924462" w:rsidRDefault="00325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69CF7E55" w14:textId="77777777" w:rsidR="00924462" w:rsidRDefault="00325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582E851A" w14:textId="77777777" w:rsidR="00924462" w:rsidRDefault="00325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0BB52AD0" w14:textId="77777777" w:rsidR="00924462" w:rsidRDefault="00924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0382469" w14:textId="77777777" w:rsidR="00924462" w:rsidRPr="00325522" w:rsidRDefault="00325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r w:rsidRPr="00325522"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44D9A87C" w14:textId="77777777" w:rsidR="00924462" w:rsidRDefault="00924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D217CCE" w14:textId="77777777" w:rsidR="00924462" w:rsidRDefault="00924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924462" w14:paraId="425E85EC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C9EC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298A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924462" w14:paraId="601B9ADB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9310" w14:textId="2013D816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AEF8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2EA737FC" w14:textId="77777777" w:rsidR="00924462" w:rsidRDefault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924462" w14:paraId="11C74FB4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BB5F" w14:textId="002E7DAB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candidate’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(no more than 500 words)</w:t>
            </w:r>
          </w:p>
          <w:p w14:paraId="02F0F000" w14:textId="77777777" w:rsidR="00924462" w:rsidRDefault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E439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924462" w14:paraId="3B2E408B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73A6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6AE6772D" w14:textId="77777777" w:rsidR="00924462" w:rsidRDefault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EB51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924462" w14:paraId="77BB0676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DE39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505026B8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2DEA3DFB" w14:textId="77777777" w:rsidR="00924462" w:rsidRDefault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978F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924462" w14:paraId="2B74B761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E1F0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132FA4CF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25D24CE7" w14:textId="77777777" w:rsidR="00924462" w:rsidRDefault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FA23" w14:textId="77777777" w:rsidR="00924462" w:rsidRDefault="0032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37ABD397" w14:textId="77777777" w:rsidR="00924462" w:rsidRDefault="00924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5E1090B" w14:textId="77777777" w:rsidR="00924462" w:rsidRDefault="00924462">
      <w:pPr>
        <w:rPr>
          <w:rFonts w:ascii="Arial" w:eastAsia="Arial" w:hAnsi="Arial" w:cs="Arial"/>
        </w:rPr>
      </w:pPr>
    </w:p>
    <w:p w14:paraId="3524C5E3" w14:textId="77777777" w:rsidR="00924462" w:rsidRDefault="00924462">
      <w:pPr>
        <w:rPr>
          <w:rFonts w:ascii="Arial" w:eastAsia="Arial" w:hAnsi="Arial" w:cs="Arial"/>
        </w:rPr>
      </w:pPr>
    </w:p>
    <w:p w14:paraId="5EC8559A" w14:textId="77777777" w:rsidR="00924462" w:rsidRDefault="00924462">
      <w:pPr>
        <w:rPr>
          <w:rFonts w:ascii="Arial" w:eastAsia="Arial" w:hAnsi="Arial" w:cs="Arial"/>
        </w:rPr>
      </w:pPr>
    </w:p>
    <w:sectPr w:rsidR="00924462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D7"/>
    <w:multiLevelType w:val="multilevel"/>
    <w:tmpl w:val="087AB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190B7D"/>
    <w:multiLevelType w:val="multilevel"/>
    <w:tmpl w:val="C63EC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1671203">
    <w:abstractNumId w:val="1"/>
  </w:num>
  <w:num w:numId="2" w16cid:durableId="41714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62"/>
    <w:rsid w:val="00325522"/>
    <w:rsid w:val="009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FFD0"/>
  <w15:docId w15:val="{B33B8953-B3E3-4278-A208-A14E3B0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61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1lVwQax+/DfNkmKk2NrR94NL8w==">AMUW2mV5Ly69w32ZaS3joHh+CDexMfifEVVprD2LkbTgU1mQe/LZlLUo+6YjzcaD9iPczxnYPBPLC+BG8qxuPZmck8DDzI93lS/4C4Yrl3FYHhePR4YESxXxjdPrmnywk+YtyqoB8c0+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2022-07-12T15:52:00Z</dcterms:created>
  <dcterms:modified xsi:type="dcterms:W3CDTF">2022-07-12T15:52:00Z</dcterms:modified>
</cp:coreProperties>
</file>